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南银理财珠联璧合鑫逸稳一年86期封闭式公募人民币理财产品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2023年第</w:t>
      </w:r>
      <w:r w:rsidR="00B55F33">
        <w:rPr>
          <w:rFonts w:ascii="方正黑体_GBK" w:eastAsia="方正黑体_GBK" w:hint="eastAsia"/>
          <w:sz w:val="36"/>
          <w:szCs w:val="36"/>
        </w:rPr>
        <w:t>1</w:t>
      </w:r>
      <w:r w:rsidRPr="0068509B">
        <w:rPr>
          <w:rFonts w:ascii="方正黑体_GBK" w:eastAsia="方正黑体_GBK" w:hint="eastAsia"/>
          <w:sz w:val="36"/>
          <w:szCs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南银理财珠联璧合鑫逸稳一年86期封闭式公募人民币理财产品</w:t>
            </w:r>
          </w:p>
        </w:tc>
      </w:tr>
      <w:tr w:rsidR="00B31DA4" w:rsidTr="0031044B">
        <w:trPr>
          <w:trHeight w:val="1300"/>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Z7003222000077（投资者可依据该编码在中国理财网www.chinawealth.com.cn查询理财产品相关信息）</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2022年11月16日</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1,007,129,421.00份</w:t>
            </w:r>
          </w:p>
        </w:tc>
      </w:tr>
      <w:tr w:rsidR="00B31DA4" w:rsidTr="0031044B">
        <w:trPr>
          <w:trHeight w:val="688"/>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鑫元基金管理有限公司、鹏华基金管理有限公司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B31DA4" w:rsidTr="00E2696A">
        <w:trPr>
          <w:trHeight w:val="1697"/>
          <w:jc w:val="center"/>
        </w:trPr>
        <w:tc>
          <w:tcPr>
            <w:tcW w:w="1838" w:type="dxa"/>
            <w:vMerge/>
            <w:vAlign w:val="center"/>
          </w:tcPr>
          <w:p w:rsidR="00B31DA4" w:rsidRDefault="00B31DA4" w:rsidP="00B55F33">
            <w:pPr>
              <w:spacing w:beforeLines="20" w:afterLines="20"/>
              <w:jc w:val="center"/>
              <w:rPr>
                <w:rFonts w:ascii="方正仿宋_GBK" w:eastAsia="方正仿宋_GBK" w:hAnsi="仿宋_GB2312" w:cs="仿宋_GB2312"/>
                <w:sz w:val="24"/>
                <w:szCs w:val="24"/>
              </w:rPr>
            </w:pPr>
          </w:p>
        </w:tc>
        <w:tc>
          <w:tcPr>
            <w:tcW w:w="269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41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Y30086</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77,947,810.55</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1.0097</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1.0097</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Y31086</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734,926,407.03</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1.0100</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1.0100</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Y32086</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204,468,073.37</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1.0104</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1.0104</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一季度经济修复呈现出整体弱复苏，结构分化明显的特征，主要体现在基建发力前置但地产修复力度偏弱，消费的反弹力度相对弱于年初市场预期，且持续回升的动力不足。海外银行业风险事件持续发酵，市场风险偏好下降，叠加国内央行意外降准，年初以来债市偏空的预期边际有所弱化。近期看3月PMI数据好于预期，但市场对短期内资金面宽松的预期占据主导，呈现“利空不做空”的局面，债市走势相对于市场预期表现的更好。总体来看，一季度利率经历了先上后下的过程，利率的低点多出现在年初，高点则多出现在2月末到3月初，整体处于窄幅波动状态，至季末10年国债上行3bp至2.85%，信用债多数品种、期限下行10-50bp不等，中低评级下行幅度更大，其中1年AA表现最优，信用利差收窄10-70bp不等，中债新综合财富指数上涨0.8%左右。</w:t>
        <w:br w:type="textWrapping" w:clear="all"/>
      </w:r>
      <w:r>
        <w:rPr>
          <w:rFonts w:ascii="方正仿宋_GBK" w:eastAsia="方正仿宋_GBK" w:hAnsiTheme="minorHAnsi" w:cstheme="minorBidi" w:hint="eastAsia"/>
          <w:sz w:val="24"/>
          <w:szCs w:val="24"/>
        </w:rPr>
        <w:t xml:space="preserve">    往后看，市场预期经济温和复苏，但对复苏斜率的变化和持续性仍存在分歧，从近期票据利率表现看，3月新增贷款有可能延续同比多增，信贷数据表现较强但持续性有待观察，而且可以看到地产销售和消费数据依然偏弱，从过往市场预期到最终现实数据表现来看，此次经济修复的节奏同样可能有诸多不确定性，流动性收紧概率较小，货币政策大概率会呵护资金面维持宽松，因此对债市后续表现不悲观，维持相对中性。后续会持续关注理财规模的变化对信用债需求端的支撑，4月政治局会议政策层面的变化。结合来看，倾向于认为二季度债市调整风险可控，在这种背景下，票息策略可能仍相对占优。</w:t>
        <w:br w:type="textWrapping" w:clear="all"/>
      </w:r>
      <w:r>
        <w:rPr>
          <w:rFonts w:ascii="方正仿宋_GBK" w:eastAsia="方正仿宋_GBK" w:hAnsiTheme="minorHAnsi" w:cstheme="minorBidi"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Pr>
          <w:rFonts w:ascii="方正仿宋_GBK" w:eastAsia="方正仿宋_GBK" w:hAnsiTheme="minorHAnsi" w:cstheme="minorBidi" w:hint="eastAsia"/>
          <w:sz w:val="24"/>
          <w:szCs w:val="24"/>
        </w:rPr>
        <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截至报告期末，本产品Y30086份额净值为1.0097元，Y31086份额净值为1.0100元，Y32086份额净值为1.0104元。</w:t>
      </w:r>
    </w:p>
    <w:p w:rsidR="00B31DA4" w:rsidRDefault="00B31DA4" w:rsidP="00675A8D">
      <w:pPr>
        <w:spacing w:before="240" w:after="72" w:line="360" w:lineRule="auto"/>
        <w:rPr>
          <w:rFonts w:ascii="方正仿宋_GBK" w:eastAsia="方正仿宋_GBK" w:hAnsi="宋体"/>
          <w:sz w:val="24"/>
          <w:szCs w:val="24"/>
        </w:rPr>
      </w:pPr>
      <w:bookmarkStart w:id="0" w:name="_GoBack"/>
      <w:bookmarkEnd w:id="0"/>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ZZGJT202005290001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鑫元基金-鑫安利得51号</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264,464,886.40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26.00</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22881599</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22惠基产业01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249,000,000.00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24.48</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ZJQTT202202230001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鑫元基金-鑫安利得59号集合资产管理计划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202,319,010.04</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19.89</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22881592</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22泗洪宏源01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107,000,000.00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10.52</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ZJQTT202103180001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鹏华基金南华1号集合资产管理计划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60,580,222.65</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5.95</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22881576</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22淮安投控07</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45,000,000.00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4.42</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22881588</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22成兴国资02</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39,000,000.00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3.83</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22881567</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22泰州鑫泰02</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1.97</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22881522</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22常州滨湖02</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1.97</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淮安市投资控股集团有限公司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22淮安投控07</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253</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泰兴市成兴国有资产经营投资有限公司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22成兴国资02</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253</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泰州鑫泰集团有限公司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22泰州鑫泰02</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242</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无锡惠基产业发展有限公司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22惠基产业01</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242</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常州滨湖建设发展集团有限公司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22常州滨湖02</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243</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泗洪县宏源公有资产经营有限公司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22泗洪宏源01</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256</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trPr>
          <w:trHeight w:val="584"/>
          <w:jc w:val="center"/>
        </w:trPr>
        <w:tc>
          <w:tcPr>
            <w:tcW w:w="846"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1</w:t>
            </w:r>
          </w:p>
        </w:tc>
        <w:tc>
          <w:tcPr>
            <w:tcW w:w="1417"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托管账户</w:t>
            </w:r>
          </w:p>
        </w:tc>
        <w:tc>
          <w:tcPr>
            <w:tcW w:w="266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0120000000000955</w:t>
            </w:r>
          </w:p>
        </w:tc>
        <w:tc>
          <w:tcPr>
            <w:tcW w:w="1983"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南银理财鑫逸稳一年86期</w:t>
            </w:r>
          </w:p>
        </w:tc>
        <w:tc>
          <w:tcPr>
            <w:tcW w:w="198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4601C9" w:rsidRDefault="00DD2B26"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w:t>
      </w:r>
      <w:r w:rsidR="004601C9">
        <w:rPr>
          <w:rFonts w:ascii="方正仿宋_GBK" w:eastAsia="方正仿宋_GBK" w:hAnsiTheme="minorHAnsi" w:cstheme="minorBidi" w:hint="eastAsia"/>
          <w:sz w:val="24"/>
          <w:szCs w:val="24"/>
        </w:rPr>
        <w:t>支付关联方托管费0.00</w:t>
      </w:r>
      <w:r>
        <w:rPr>
          <w:rFonts w:ascii="方正仿宋_GBK" w:eastAsia="方正仿宋_GBK" w:hAnsiTheme="minorHAnsi" w:cstheme="minorBidi" w:hint="eastAsia"/>
          <w:sz w:val="24"/>
          <w:szCs w:val="24"/>
        </w:rPr>
        <w:t>元，</w:t>
      </w:r>
      <w:r w:rsidR="004601C9">
        <w:rPr>
          <w:rFonts w:ascii="方正仿宋_GBK" w:eastAsia="方正仿宋_GBK" w:hAnsiTheme="minorHAnsi" w:cstheme="minorBidi" w:hint="eastAsia"/>
          <w:sz w:val="24"/>
          <w:szCs w:val="24"/>
        </w:rPr>
        <w:t>支付关联方代销费</w:t>
      </w:r>
      <w:r w:rsidR="00735F94">
        <w:rPr>
          <w:rFonts w:ascii="方正仿宋_GBK" w:eastAsia="方正仿宋_GBK" w:hAnsiTheme="minorHAnsi" w:cstheme="minorBidi" w:hint="eastAsia"/>
          <w:sz w:val="24"/>
          <w:szCs w:val="24"/>
        </w:rPr>
        <w:t>87,300.85</w:t>
      </w:r>
      <w:r w:rsidR="004601C9">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68D" w:rsidRDefault="0080768D">
      <w:pPr>
        <w:spacing w:after="72"/>
      </w:pPr>
      <w:r>
        <w:separator/>
      </w:r>
    </w:p>
  </w:endnote>
  <w:endnote w:type="continuationSeparator" w:id="1">
    <w:p w:rsidR="0080768D" w:rsidRDefault="0080768D">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FE2FF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68D" w:rsidRDefault="0080768D">
      <w:pPr>
        <w:spacing w:after="72"/>
      </w:pPr>
      <w:r>
        <w:separator/>
      </w:r>
    </w:p>
  </w:footnote>
  <w:footnote w:type="continuationSeparator" w:id="1">
    <w:p w:rsidR="0080768D" w:rsidRDefault="0080768D">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313</Words>
  <Characters>1790</Characters>
  <Application>Microsoft Office Word</Application>
  <DocSecurity>0</DocSecurity>
  <Lines>14</Lines>
  <Paragraphs>4</Paragraphs>
  <ScaleCrop>false</ScaleCrop>
  <Company>cc</Company>
  <LinksUpToDate>false</LinksUpToDate>
  <CharactersWithSpaces>2099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未定义</cp:lastModifiedBy>
  <dcterms:modified xsi:type="dcterms:W3CDTF">2023-04-14T10:08:00Z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